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4"/>
        <w:tblW w:w="8222" w:type="dxa"/>
        <w:tblInd w:w="13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1370"/>
        <w:gridCol w:w="2029"/>
        <w:gridCol w:w="42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8222" w:type="dxa"/>
            <w:gridSpan w:val="4"/>
            <w:vAlign w:val="center"/>
          </w:tcPr>
          <w:p>
            <w:pPr>
              <w:pStyle w:val="15"/>
              <w:jc w:val="center"/>
            </w:pPr>
            <w:bookmarkStart w:id="0" w:name="_GoBack"/>
            <w:r>
              <w:t>云电脑终端</w:t>
            </w:r>
            <w:r>
              <w:rPr>
                <w:rFonts w:hint="eastAsia"/>
              </w:rPr>
              <w:t>参数</w:t>
            </w:r>
          </w:p>
        </w:tc>
      </w:tr>
      <w:bookmarkEnd w:id="0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95" w:type="dxa"/>
            <w:tcBorders>
              <w:bottom w:val="single" w:color="000000" w:sz="2" w:space="0"/>
            </w:tcBorders>
            <w:vAlign w:val="center"/>
          </w:tcPr>
          <w:p>
            <w:pPr>
              <w:pStyle w:val="15"/>
              <w:jc w:val="center"/>
            </w:pPr>
            <w:r>
              <w:rPr>
                <w:spacing w:val="6"/>
              </w:rPr>
              <w:t>序</w:t>
            </w:r>
            <w:r>
              <w:rPr>
                <w:spacing w:val="5"/>
              </w:rPr>
              <w:t>号</w:t>
            </w:r>
          </w:p>
        </w:tc>
        <w:tc>
          <w:tcPr>
            <w:tcW w:w="1370" w:type="dxa"/>
            <w:tcBorders>
              <w:bottom w:val="single" w:color="000000" w:sz="2" w:space="0"/>
            </w:tcBorders>
            <w:vAlign w:val="center"/>
          </w:tcPr>
          <w:p>
            <w:pPr>
              <w:pStyle w:val="15"/>
              <w:jc w:val="center"/>
            </w:pPr>
            <w:r>
              <w:rPr>
                <w:spacing w:val="4"/>
              </w:rPr>
              <w:t>分</w:t>
            </w:r>
            <w:r>
              <w:rPr>
                <w:spacing w:val="3"/>
              </w:rPr>
              <w:t>类</w:t>
            </w:r>
          </w:p>
        </w:tc>
        <w:tc>
          <w:tcPr>
            <w:tcW w:w="2029" w:type="dxa"/>
            <w:tcBorders>
              <w:bottom w:val="single" w:color="000000" w:sz="2" w:space="0"/>
            </w:tcBorders>
            <w:vAlign w:val="center"/>
          </w:tcPr>
          <w:p>
            <w:pPr>
              <w:pStyle w:val="15"/>
              <w:jc w:val="center"/>
            </w:pPr>
            <w:r>
              <w:rPr>
                <w:spacing w:val="4"/>
              </w:rPr>
              <w:t>指</w:t>
            </w:r>
            <w:r>
              <w:rPr>
                <w:spacing w:val="3"/>
              </w:rPr>
              <w:t>标</w:t>
            </w:r>
          </w:p>
        </w:tc>
        <w:tc>
          <w:tcPr>
            <w:tcW w:w="4228" w:type="dxa"/>
            <w:tcBorders>
              <w:bottom w:val="single" w:color="000000" w:sz="2" w:space="0"/>
            </w:tcBorders>
            <w:vAlign w:val="center"/>
          </w:tcPr>
          <w:p>
            <w:pPr>
              <w:pStyle w:val="15"/>
              <w:jc w:val="center"/>
            </w:pPr>
            <w:r>
              <w:rPr>
                <w:spacing w:val="7"/>
              </w:rPr>
              <w:t>参数要求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95" w:type="dxa"/>
            <w:vAlign w:val="center"/>
          </w:tcPr>
          <w:p>
            <w:pPr>
              <w:pStyle w:val="15"/>
              <w:jc w:val="center"/>
            </w:pPr>
            <w:r>
              <w:t>1</w:t>
            </w:r>
          </w:p>
        </w:tc>
        <w:tc>
          <w:tcPr>
            <w:tcW w:w="1370" w:type="dxa"/>
            <w:vMerge w:val="restart"/>
            <w:vAlign w:val="center"/>
          </w:tcPr>
          <w:p>
            <w:pPr>
              <w:pStyle w:val="15"/>
              <w:jc w:val="center"/>
            </w:pPr>
            <w:r>
              <w:rPr>
                <w:spacing w:val="9"/>
              </w:rPr>
              <w:t>基</w:t>
            </w:r>
            <w:r>
              <w:rPr>
                <w:spacing w:val="7"/>
              </w:rPr>
              <w:t>本配置</w:t>
            </w:r>
          </w:p>
        </w:tc>
        <w:tc>
          <w:tcPr>
            <w:tcW w:w="2029" w:type="dxa"/>
            <w:vAlign w:val="center"/>
          </w:tcPr>
          <w:p>
            <w:pPr>
              <w:pStyle w:val="15"/>
              <w:jc w:val="center"/>
            </w:pPr>
            <w:r>
              <w:rPr>
                <w:spacing w:val="3"/>
              </w:rPr>
              <w:t>C</w:t>
            </w:r>
            <w:r>
              <w:rPr>
                <w:spacing w:val="2"/>
              </w:rPr>
              <w:t>PU</w:t>
            </w:r>
          </w:p>
        </w:tc>
        <w:tc>
          <w:tcPr>
            <w:tcW w:w="4228" w:type="dxa"/>
            <w:vAlign w:val="center"/>
          </w:tcPr>
          <w:p>
            <w:pPr>
              <w:pStyle w:val="15"/>
              <w:jc w:val="center"/>
            </w:pPr>
            <w:r>
              <w:rPr>
                <w:rFonts w:hint="eastAsia"/>
                <w:spacing w:val="-1"/>
              </w:rPr>
              <w:t>Intel赛扬四核N5095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95" w:type="dxa"/>
            <w:vAlign w:val="center"/>
          </w:tcPr>
          <w:p>
            <w:pPr>
              <w:pStyle w:val="15"/>
              <w:jc w:val="center"/>
            </w:pPr>
            <w:r>
              <w:t>2</w:t>
            </w:r>
          </w:p>
        </w:tc>
        <w:tc>
          <w:tcPr>
            <w:tcW w:w="1370" w:type="dxa"/>
            <w:vMerge w:val="continue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2029" w:type="dxa"/>
            <w:vAlign w:val="center"/>
          </w:tcPr>
          <w:p>
            <w:pPr>
              <w:pStyle w:val="15"/>
              <w:jc w:val="center"/>
              <w:rPr>
                <w:highlight w:val="yellow"/>
              </w:rPr>
            </w:pPr>
            <w:r>
              <w:rPr>
                <w:spacing w:val="4"/>
                <w:highlight w:val="yellow"/>
              </w:rPr>
              <w:t>主频</w:t>
            </w:r>
          </w:p>
        </w:tc>
        <w:tc>
          <w:tcPr>
            <w:tcW w:w="4228" w:type="dxa"/>
            <w:vAlign w:val="center"/>
          </w:tcPr>
          <w:p>
            <w:pPr>
              <w:pStyle w:val="15"/>
              <w:jc w:val="center"/>
              <w:rPr>
                <w:highlight w:val="yellow"/>
              </w:rPr>
            </w:pPr>
            <w:r>
              <w:rPr>
                <w:spacing w:val="-1"/>
                <w:highlight w:val="yellow"/>
              </w:rPr>
              <w:t>2.0GHz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95" w:type="dxa"/>
            <w:vAlign w:val="center"/>
          </w:tcPr>
          <w:p>
            <w:pPr>
              <w:pStyle w:val="15"/>
              <w:jc w:val="center"/>
            </w:pPr>
            <w:r>
              <w:t>3</w:t>
            </w:r>
          </w:p>
        </w:tc>
        <w:tc>
          <w:tcPr>
            <w:tcW w:w="1370" w:type="dxa"/>
            <w:vMerge w:val="continue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2029" w:type="dxa"/>
            <w:vAlign w:val="center"/>
          </w:tcPr>
          <w:p>
            <w:pPr>
              <w:pStyle w:val="15"/>
              <w:jc w:val="center"/>
            </w:pPr>
            <w:r>
              <w:rPr>
                <w:spacing w:val="-10"/>
              </w:rPr>
              <w:t>内</w:t>
            </w:r>
            <w:r>
              <w:rPr>
                <w:spacing w:val="-9"/>
              </w:rPr>
              <w:t>存</w:t>
            </w:r>
          </w:p>
        </w:tc>
        <w:tc>
          <w:tcPr>
            <w:tcW w:w="4228" w:type="dxa"/>
            <w:vAlign w:val="center"/>
          </w:tcPr>
          <w:p>
            <w:pPr>
              <w:pStyle w:val="15"/>
              <w:jc w:val="center"/>
            </w:pPr>
            <w:r>
              <w:rPr>
                <w:spacing w:val="-1"/>
              </w:rPr>
              <w:t>8GB DDR4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95" w:type="dxa"/>
            <w:vAlign w:val="center"/>
          </w:tcPr>
          <w:p>
            <w:pPr>
              <w:pStyle w:val="15"/>
              <w:jc w:val="center"/>
            </w:pPr>
            <w:r>
              <w:t>4</w:t>
            </w:r>
          </w:p>
        </w:tc>
        <w:tc>
          <w:tcPr>
            <w:tcW w:w="1370" w:type="dxa"/>
            <w:vMerge w:val="continue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2029" w:type="dxa"/>
            <w:vAlign w:val="center"/>
          </w:tcPr>
          <w:p>
            <w:pPr>
              <w:pStyle w:val="15"/>
              <w:jc w:val="center"/>
            </w:pPr>
            <w:r>
              <w:rPr>
                <w:spacing w:val="5"/>
              </w:rPr>
              <w:t>硬盘</w:t>
            </w:r>
          </w:p>
        </w:tc>
        <w:tc>
          <w:tcPr>
            <w:tcW w:w="4228" w:type="dxa"/>
            <w:vAlign w:val="center"/>
          </w:tcPr>
          <w:p>
            <w:pPr>
              <w:pStyle w:val="15"/>
              <w:jc w:val="center"/>
            </w:pPr>
            <w:r>
              <w:rPr>
                <w:spacing w:val="-6"/>
              </w:rPr>
              <w:t>128GB SSD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5" w:type="dxa"/>
            <w:tcBorders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</w:pPr>
            <w:r>
              <w:t>5</w:t>
            </w:r>
          </w:p>
        </w:tc>
        <w:tc>
          <w:tcPr>
            <w:tcW w:w="1370" w:type="dxa"/>
            <w:vMerge w:val="continue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2029" w:type="dxa"/>
            <w:tcBorders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</w:pPr>
            <w:r>
              <w:rPr>
                <w:spacing w:val="-5"/>
              </w:rPr>
              <w:t>网</w:t>
            </w:r>
            <w:r>
              <w:rPr>
                <w:spacing w:val="-4"/>
              </w:rPr>
              <w:t>卡</w:t>
            </w:r>
          </w:p>
        </w:tc>
        <w:tc>
          <w:tcPr>
            <w:tcW w:w="4228" w:type="dxa"/>
            <w:tcBorders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</w:pPr>
            <w:r>
              <w:rPr>
                <w:rFonts w:hint="eastAsia"/>
                <w:spacing w:val="-1"/>
              </w:rPr>
              <w:t>自适应网卡10M/100M/1000M，RJ45接口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70" w:type="dxa"/>
            <w:vMerge w:val="continue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20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5"/>
              </w:rPr>
            </w:pPr>
            <w:r>
              <w:rPr>
                <w:rFonts w:hint="eastAsia"/>
                <w:spacing w:val="-5"/>
              </w:rPr>
              <w:t>无线网卡</w:t>
            </w:r>
          </w:p>
        </w:tc>
        <w:tc>
          <w:tcPr>
            <w:tcW w:w="42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支持2.4G/5G 双模 wifi 模块，可支持 2.4G-WIFI + 5G-WIFI  1T1R AC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370" w:type="dxa"/>
            <w:vMerge w:val="continue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20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5"/>
              </w:rPr>
            </w:pPr>
            <w:r>
              <w:t>USB</w:t>
            </w:r>
            <w:r>
              <w:rPr>
                <w:spacing w:val="1"/>
              </w:rPr>
              <w:t>口</w:t>
            </w:r>
          </w:p>
        </w:tc>
        <w:tc>
          <w:tcPr>
            <w:tcW w:w="42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1"/>
              </w:rPr>
            </w:pPr>
            <w:r>
              <w:rPr>
                <w:spacing w:val="-6"/>
              </w:rPr>
              <w:t>USB3.0*4;USB2.0*2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370" w:type="dxa"/>
            <w:vMerge w:val="continue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20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5"/>
              </w:rPr>
            </w:pPr>
            <w:r>
              <w:rPr>
                <w:rFonts w:hint="eastAsia"/>
                <w:spacing w:val="-5"/>
              </w:rPr>
              <w:t>音频口</w:t>
            </w:r>
          </w:p>
        </w:tc>
        <w:tc>
          <w:tcPr>
            <w:tcW w:w="42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耳机接口*1+麦克风接口*1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370" w:type="dxa"/>
            <w:vMerge w:val="continue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20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5"/>
              </w:rPr>
            </w:pPr>
            <w:r>
              <w:rPr>
                <w:rFonts w:hint="eastAsia"/>
                <w:spacing w:val="-5"/>
              </w:rPr>
              <w:t>外接显示口</w:t>
            </w:r>
          </w:p>
        </w:tc>
        <w:tc>
          <w:tcPr>
            <w:tcW w:w="42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HDMI*1+VGA*1输出，支持三屏显示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370" w:type="dxa"/>
            <w:vMerge w:val="continue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20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5"/>
              </w:rPr>
            </w:pPr>
            <w:r>
              <w:rPr>
                <w:rFonts w:hint="eastAsia"/>
                <w:spacing w:val="-5"/>
              </w:rPr>
              <w:t>液晶屏尺寸</w:t>
            </w:r>
          </w:p>
        </w:tc>
        <w:tc>
          <w:tcPr>
            <w:tcW w:w="42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1"/>
              </w:rPr>
            </w:pPr>
            <w:r>
              <w:rPr>
                <w:spacing w:val="-1"/>
              </w:rPr>
              <w:t>23.8inch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370" w:type="dxa"/>
            <w:vMerge w:val="continue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20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5"/>
              </w:rPr>
            </w:pPr>
            <w:r>
              <w:rPr>
                <w:rFonts w:hint="eastAsia"/>
                <w:spacing w:val="-5"/>
              </w:rPr>
              <w:t>可视角度</w:t>
            </w:r>
          </w:p>
        </w:tc>
        <w:tc>
          <w:tcPr>
            <w:tcW w:w="42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89/89/89/89 (Typ.)(CR≥10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370" w:type="dxa"/>
            <w:vMerge w:val="continue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20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5"/>
              </w:rPr>
            </w:pPr>
            <w:r>
              <w:rPr>
                <w:rFonts w:hint="eastAsia"/>
                <w:spacing w:val="-5"/>
              </w:rPr>
              <w:t>亮度</w:t>
            </w:r>
          </w:p>
        </w:tc>
        <w:tc>
          <w:tcPr>
            <w:tcW w:w="42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≥250nits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370" w:type="dxa"/>
            <w:vMerge w:val="continue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20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5"/>
              </w:rPr>
            </w:pPr>
            <w:r>
              <w:rPr>
                <w:rFonts w:hint="eastAsia"/>
                <w:spacing w:val="-5"/>
              </w:rPr>
              <w:t>分辨率</w:t>
            </w:r>
          </w:p>
        </w:tc>
        <w:tc>
          <w:tcPr>
            <w:tcW w:w="42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1"/>
              </w:rPr>
            </w:pPr>
            <w:r>
              <w:rPr>
                <w:spacing w:val="-1"/>
              </w:rPr>
              <w:t>1920*1080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370" w:type="dxa"/>
            <w:vMerge w:val="continue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20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5"/>
              </w:rPr>
            </w:pPr>
            <w:r>
              <w:rPr>
                <w:rFonts w:hint="eastAsia"/>
                <w:spacing w:val="-5"/>
              </w:rPr>
              <w:t>色域(NTSC)</w:t>
            </w:r>
          </w:p>
        </w:tc>
        <w:tc>
          <w:tcPr>
            <w:tcW w:w="42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≥72%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</w:pPr>
            <w:r>
              <w:t>15</w:t>
            </w:r>
          </w:p>
        </w:tc>
        <w:tc>
          <w:tcPr>
            <w:tcW w:w="1370" w:type="dxa"/>
            <w:vMerge w:val="continue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20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5"/>
              </w:rPr>
            </w:pPr>
            <w:r>
              <w:rPr>
                <w:rFonts w:hint="eastAsia"/>
                <w:spacing w:val="-5"/>
              </w:rPr>
              <w:t>背光类型</w:t>
            </w:r>
          </w:p>
        </w:tc>
        <w:tc>
          <w:tcPr>
            <w:tcW w:w="42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LED 白光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</w:pPr>
            <w:r>
              <w:t>16</w:t>
            </w:r>
          </w:p>
        </w:tc>
        <w:tc>
          <w:tcPr>
            <w:tcW w:w="1370" w:type="dxa"/>
            <w:vMerge w:val="continue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20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5"/>
              </w:rPr>
            </w:pPr>
            <w:r>
              <w:rPr>
                <w:rFonts w:hint="eastAsia"/>
                <w:spacing w:val="-5"/>
              </w:rPr>
              <w:t>液晶屏规格</w:t>
            </w:r>
          </w:p>
        </w:tc>
        <w:tc>
          <w:tcPr>
            <w:tcW w:w="42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IPS技术A规屏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</w:pPr>
            <w:r>
              <w:t>17</w:t>
            </w:r>
          </w:p>
        </w:tc>
        <w:tc>
          <w:tcPr>
            <w:tcW w:w="1370" w:type="dxa"/>
            <w:vMerge w:val="continue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20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5"/>
              </w:rPr>
            </w:pPr>
            <w:r>
              <w:rPr>
                <w:rFonts w:hint="eastAsia"/>
                <w:spacing w:val="-5"/>
              </w:rPr>
              <w:t>内置喇叭</w:t>
            </w:r>
          </w:p>
        </w:tc>
        <w:tc>
          <w:tcPr>
            <w:tcW w:w="42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1"/>
              </w:rPr>
            </w:pPr>
            <w:r>
              <w:rPr>
                <w:spacing w:val="-1"/>
              </w:rPr>
              <w:t>2*3W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</w:pPr>
            <w:r>
              <w:t>18</w:t>
            </w:r>
          </w:p>
        </w:tc>
        <w:tc>
          <w:tcPr>
            <w:tcW w:w="1370" w:type="dxa"/>
            <w:vMerge w:val="continue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20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5"/>
              </w:rPr>
            </w:pPr>
            <w:r>
              <w:rPr>
                <w:rFonts w:hint="eastAsia"/>
                <w:spacing w:val="-5"/>
              </w:rPr>
              <w:t>无线投屏</w:t>
            </w:r>
          </w:p>
        </w:tc>
        <w:tc>
          <w:tcPr>
            <w:tcW w:w="42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1"/>
              </w:rPr>
            </w:pPr>
            <w:r>
              <w:rPr>
                <w:rFonts w:hint="eastAsia"/>
                <w:spacing w:val="-5"/>
              </w:rPr>
              <w:t>支持手机、PAD等设备同/投屏，兼容安卓(Miracast同/投屏协议)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</w:pPr>
            <w:r>
              <w:t>19</w:t>
            </w:r>
          </w:p>
        </w:tc>
        <w:tc>
          <w:tcPr>
            <w:tcW w:w="1370" w:type="dxa"/>
            <w:vMerge w:val="continue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20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5"/>
              </w:rPr>
            </w:pPr>
            <w:r>
              <w:rPr>
                <w:rFonts w:hint="eastAsia"/>
                <w:spacing w:val="-5"/>
              </w:rPr>
              <w:t>固件升级</w:t>
            </w:r>
          </w:p>
        </w:tc>
        <w:tc>
          <w:tcPr>
            <w:tcW w:w="42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支持Windows update升级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</w:pPr>
            <w:r>
              <w:t>20</w:t>
            </w:r>
          </w:p>
        </w:tc>
        <w:tc>
          <w:tcPr>
            <w:tcW w:w="1370" w:type="dxa"/>
            <w:vMerge w:val="continue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20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5"/>
              </w:rPr>
            </w:pPr>
            <w:r>
              <w:rPr>
                <w:rFonts w:hint="eastAsia"/>
                <w:spacing w:val="-5"/>
              </w:rPr>
              <w:t>远程管理及控制功能</w:t>
            </w:r>
          </w:p>
        </w:tc>
        <w:tc>
          <w:tcPr>
            <w:tcW w:w="42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支持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1370" w:type="dxa"/>
            <w:vMerge w:val="continue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20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5"/>
              </w:rPr>
            </w:pPr>
            <w:r>
              <w:rPr>
                <w:rFonts w:hint="eastAsia"/>
                <w:spacing w:val="-5"/>
              </w:rPr>
              <w:t>云桌面协议</w:t>
            </w:r>
          </w:p>
        </w:tc>
        <w:tc>
          <w:tcPr>
            <w:tcW w:w="42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支持clink协议和HDP、PCoIP、ICA三个协议中任一协议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1370" w:type="dxa"/>
            <w:vMerge w:val="continue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20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5"/>
              </w:rPr>
            </w:pPr>
            <w:r>
              <w:rPr>
                <w:rFonts w:hint="eastAsia"/>
                <w:spacing w:val="-5"/>
              </w:rPr>
              <w:t>操作系统</w:t>
            </w:r>
          </w:p>
        </w:tc>
        <w:tc>
          <w:tcPr>
            <w:tcW w:w="42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1"/>
              </w:rPr>
            </w:pPr>
            <w:r>
              <w:rPr>
                <w:spacing w:val="-1"/>
              </w:rPr>
              <w:t>Windows 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1370" w:type="dxa"/>
            <w:vMerge w:val="continue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20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5"/>
              </w:rPr>
            </w:pPr>
            <w:r>
              <w:rPr>
                <w:rFonts w:hint="eastAsia"/>
                <w:spacing w:val="-5"/>
              </w:rPr>
              <w:t>工作电压</w:t>
            </w:r>
          </w:p>
        </w:tc>
        <w:tc>
          <w:tcPr>
            <w:tcW w:w="42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1"/>
              </w:rPr>
            </w:pPr>
            <w:r>
              <w:rPr>
                <w:spacing w:val="-1"/>
              </w:rPr>
              <w:t>12V DC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1370" w:type="dxa"/>
            <w:vMerge w:val="continue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20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5"/>
              </w:rPr>
            </w:pPr>
            <w:r>
              <w:rPr>
                <w:rFonts w:hint="eastAsia"/>
                <w:spacing w:val="-5"/>
              </w:rPr>
              <w:t>散热方式</w:t>
            </w:r>
          </w:p>
        </w:tc>
        <w:tc>
          <w:tcPr>
            <w:tcW w:w="42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板载散热器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1370" w:type="dxa"/>
            <w:vMerge w:val="continue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20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5"/>
              </w:rPr>
            </w:pPr>
            <w:r>
              <w:rPr>
                <w:rFonts w:hint="eastAsia"/>
                <w:spacing w:val="-5"/>
              </w:rPr>
              <w:t>功耗</w:t>
            </w:r>
          </w:p>
        </w:tc>
        <w:tc>
          <w:tcPr>
            <w:tcW w:w="42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≤60W，待机功率≤0.5W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1370" w:type="dxa"/>
            <w:vMerge w:val="continue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20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5"/>
              </w:rPr>
            </w:pPr>
            <w:r>
              <w:rPr>
                <w:rFonts w:hint="eastAsia"/>
                <w:spacing w:val="-5"/>
              </w:rPr>
              <w:t>硬解码及视频播放</w:t>
            </w:r>
          </w:p>
        </w:tc>
        <w:tc>
          <w:tcPr>
            <w:tcW w:w="42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支持1080p 60fps的H.264及H.265视频编码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1370" w:type="dxa"/>
            <w:vMerge w:val="continue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20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5"/>
              </w:rPr>
            </w:pPr>
            <w:r>
              <w:rPr>
                <w:rFonts w:hint="eastAsia"/>
                <w:spacing w:val="-5"/>
              </w:rPr>
              <w:t>保修服务</w:t>
            </w:r>
          </w:p>
        </w:tc>
        <w:tc>
          <w:tcPr>
            <w:tcW w:w="42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整机三年保修服务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1370" w:type="dxa"/>
            <w:vMerge w:val="continue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20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5"/>
              </w:rPr>
            </w:pPr>
            <w:r>
              <w:rPr>
                <w:rFonts w:hint="eastAsia"/>
                <w:spacing w:val="-5"/>
              </w:rPr>
              <w:t>蓝牙</w:t>
            </w:r>
          </w:p>
        </w:tc>
        <w:tc>
          <w:tcPr>
            <w:tcW w:w="42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支持Bluetooth v2.1/v4.2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137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20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5"/>
              </w:rPr>
            </w:pPr>
            <w:r>
              <w:rPr>
                <w:rFonts w:hint="eastAsia"/>
                <w:spacing w:val="-5"/>
              </w:rPr>
              <w:t>键盘与鼠标</w:t>
            </w:r>
          </w:p>
        </w:tc>
        <w:tc>
          <w:tcPr>
            <w:tcW w:w="42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标配键盘鼠标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</w:pPr>
            <w:r>
              <w:t>30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15"/>
              <w:jc w:val="center"/>
            </w:pPr>
            <w:r>
              <w:rPr>
                <w:rFonts w:hint="eastAsia"/>
              </w:rPr>
              <w:t>系统软件</w:t>
            </w:r>
          </w:p>
        </w:tc>
        <w:tc>
          <w:tcPr>
            <w:tcW w:w="20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5"/>
              </w:rPr>
            </w:pPr>
            <w:r>
              <w:rPr>
                <w:rFonts w:hint="eastAsia"/>
                <w:spacing w:val="-5"/>
              </w:rPr>
              <w:t>桌面系统</w:t>
            </w:r>
          </w:p>
        </w:tc>
        <w:tc>
          <w:tcPr>
            <w:tcW w:w="42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Windows桌面系统，支持桌面壁纸更换；支持开机自动开启云电脑选择；支持主页快捷应用图标添加和删除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</w:pPr>
            <w:r>
              <w:t>31</w:t>
            </w:r>
          </w:p>
        </w:tc>
        <w:tc>
          <w:tcPr>
            <w:tcW w:w="1370" w:type="dxa"/>
            <w:vMerge w:val="continue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20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5"/>
              </w:rPr>
            </w:pPr>
            <w:r>
              <w:rPr>
                <w:rFonts w:hint="eastAsia"/>
                <w:spacing w:val="-5"/>
              </w:rPr>
              <w:t>设备自检系统</w:t>
            </w:r>
          </w:p>
        </w:tc>
        <w:tc>
          <w:tcPr>
            <w:tcW w:w="42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硬件功能自动检测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15"/>
              <w:jc w:val="center"/>
            </w:pPr>
            <w:r>
              <w:t>32</w:t>
            </w:r>
          </w:p>
        </w:tc>
        <w:tc>
          <w:tcPr>
            <w:tcW w:w="1370" w:type="dxa"/>
            <w:vMerge w:val="continue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202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5"/>
              </w:rPr>
            </w:pPr>
            <w:r>
              <w:rPr>
                <w:rFonts w:hint="eastAsia"/>
                <w:spacing w:val="-5"/>
              </w:rPr>
              <w:t>设备生产及串码管理比对系统</w:t>
            </w:r>
          </w:p>
        </w:tc>
        <w:tc>
          <w:tcPr>
            <w:tcW w:w="42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SN码，MAC地址，CTEI码三码管理系统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1370" w:type="dxa"/>
            <w:vMerge w:val="continue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202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5"/>
              </w:rPr>
            </w:pPr>
          </w:p>
        </w:tc>
        <w:tc>
          <w:tcPr>
            <w:tcW w:w="42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1"/>
              </w:rPr>
            </w:pPr>
            <w:r>
              <w:rPr>
                <w:spacing w:val="11"/>
              </w:rPr>
              <w:t>整</w:t>
            </w:r>
            <w:r>
              <w:rPr>
                <w:spacing w:val="9"/>
              </w:rPr>
              <w:t>机生产时间记录和管理系统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</w:pPr>
            <w:r>
              <w:rPr>
                <w:rFonts w:hint="eastAsia"/>
              </w:rPr>
              <w:t>3</w:t>
            </w:r>
            <w:r>
              <w:t>3</w:t>
            </w:r>
          </w:p>
        </w:tc>
        <w:tc>
          <w:tcPr>
            <w:tcW w:w="1370" w:type="dxa"/>
            <w:vMerge w:val="continue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20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5"/>
              </w:rPr>
            </w:pPr>
            <w:r>
              <w:rPr>
                <w:rFonts w:hint="eastAsia"/>
                <w:spacing w:val="-5"/>
              </w:rPr>
              <w:t>设备使用说明</w:t>
            </w:r>
          </w:p>
        </w:tc>
        <w:tc>
          <w:tcPr>
            <w:tcW w:w="42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配备使用说明书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</w:pPr>
            <w:r>
              <w:rPr>
                <w:rFonts w:hint="eastAsia"/>
              </w:rPr>
              <w:t>3</w:t>
            </w:r>
            <w:r>
              <w:t>4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15"/>
              <w:jc w:val="center"/>
            </w:pPr>
            <w:r>
              <w:rPr>
                <w:rFonts w:hint="eastAsia"/>
              </w:rPr>
              <w:t>管理系统</w:t>
            </w:r>
          </w:p>
        </w:tc>
        <w:tc>
          <w:tcPr>
            <w:tcW w:w="202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5"/>
              </w:rPr>
            </w:pPr>
            <w:r>
              <w:rPr>
                <w:rFonts w:hint="eastAsia"/>
                <w:spacing w:val="-5"/>
              </w:rPr>
              <w:t>设备管理系统</w:t>
            </w:r>
          </w:p>
        </w:tc>
        <w:tc>
          <w:tcPr>
            <w:tcW w:w="42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支持管理平台用户权限设置，用户添加和修改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</w:pPr>
            <w:r>
              <w:rPr>
                <w:rFonts w:hint="eastAsia"/>
              </w:rPr>
              <w:t>3</w:t>
            </w:r>
            <w:r>
              <w:t>5</w:t>
            </w:r>
          </w:p>
        </w:tc>
        <w:tc>
          <w:tcPr>
            <w:tcW w:w="1370" w:type="dxa"/>
            <w:vMerge w:val="continue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pStyle w:val="15"/>
              <w:jc w:val="center"/>
              <w:rPr>
                <w:spacing w:val="-5"/>
              </w:rPr>
            </w:pPr>
          </w:p>
        </w:tc>
        <w:tc>
          <w:tcPr>
            <w:tcW w:w="42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支持设备信息显示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</w:pPr>
            <w:r>
              <w:rPr>
                <w:rFonts w:hint="eastAsia"/>
              </w:rPr>
              <w:t>3</w:t>
            </w:r>
            <w:r>
              <w:t>6</w:t>
            </w:r>
          </w:p>
        </w:tc>
        <w:tc>
          <w:tcPr>
            <w:tcW w:w="1370" w:type="dxa"/>
            <w:vMerge w:val="continue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pStyle w:val="15"/>
              <w:jc w:val="center"/>
              <w:rPr>
                <w:spacing w:val="-5"/>
              </w:rPr>
            </w:pPr>
          </w:p>
        </w:tc>
        <w:tc>
          <w:tcPr>
            <w:tcW w:w="42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支持设备远程关机、重启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</w:pPr>
            <w:r>
              <w:rPr>
                <w:rFonts w:hint="eastAsia"/>
              </w:rPr>
              <w:t>3</w:t>
            </w:r>
            <w:r>
              <w:t>7</w:t>
            </w:r>
          </w:p>
        </w:tc>
        <w:tc>
          <w:tcPr>
            <w:tcW w:w="1370" w:type="dxa"/>
            <w:vMerge w:val="continue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pStyle w:val="15"/>
              <w:jc w:val="center"/>
              <w:rPr>
                <w:spacing w:val="-5"/>
              </w:rPr>
            </w:pPr>
          </w:p>
        </w:tc>
        <w:tc>
          <w:tcPr>
            <w:tcW w:w="42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支持设备分组管理</w:t>
            </w:r>
          </w:p>
        </w:tc>
      </w:tr>
    </w:tbl>
    <w:p>
      <w:pPr>
        <w:ind w:firstLine="48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80"/>
      </w:pPr>
      <w:r>
        <w:separator/>
      </w:r>
    </w:p>
  </w:endnote>
  <w:endnote w:type="continuationSeparator" w:id="1">
    <w:p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80"/>
      </w:pPr>
      <w:r>
        <w:separator/>
      </w:r>
    </w:p>
  </w:footnote>
  <w:footnote w:type="continuationSeparator" w:id="1">
    <w:p>
      <w:pPr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2D"/>
    <w:rsid w:val="001260CD"/>
    <w:rsid w:val="00151E87"/>
    <w:rsid w:val="002C6BB9"/>
    <w:rsid w:val="006325E4"/>
    <w:rsid w:val="006C202D"/>
    <w:rsid w:val="00871712"/>
    <w:rsid w:val="009F0198"/>
    <w:rsid w:val="00F30B9C"/>
    <w:rsid w:val="234E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line="440" w:lineRule="exact"/>
      <w:ind w:firstLine="0" w:firstLineChars="0"/>
      <w:outlineLvl w:val="0"/>
    </w:pPr>
    <w:rPr>
      <w:rFonts w:eastAsia="宋体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ind w:firstLine="0" w:firstLineChars="0"/>
      <w:outlineLvl w:val="1"/>
    </w:pPr>
    <w:rPr>
      <w:rFonts w:eastAsia="宋体" w:asciiTheme="majorHAnsi" w:hAnsiTheme="majorHAnsi" w:cstheme="majorBidi"/>
      <w:b/>
      <w:bCs/>
      <w:sz w:val="30"/>
      <w:szCs w:val="32"/>
    </w:rPr>
  </w:style>
  <w:style w:type="paragraph" w:styleId="4">
    <w:name w:val="heading 3"/>
    <w:basedOn w:val="1"/>
    <w:next w:val="1"/>
    <w:link w:val="11"/>
    <w:unhideWhenUsed/>
    <w:qFormat/>
    <w:uiPriority w:val="9"/>
    <w:pPr>
      <w:ind w:firstLine="0" w:firstLineChars="0"/>
      <w:outlineLvl w:val="2"/>
    </w:pPr>
    <w:rPr>
      <w:rFonts w:eastAsia="宋体"/>
      <w:bCs/>
      <w:sz w:val="28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rFonts w:asciiTheme="minorHAnsi" w:hAnsiTheme="minorHAnsi" w:eastAsiaTheme="minorEastAsia"/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ind w:firstLine="0" w:firstLineChars="0"/>
      <w:jc w:val="center"/>
    </w:pPr>
    <w:rPr>
      <w:rFonts w:asciiTheme="minorHAnsi" w:hAnsiTheme="minorHAnsi" w:eastAsiaTheme="minorEastAsia"/>
      <w:sz w:val="18"/>
      <w:szCs w:val="18"/>
    </w:rPr>
  </w:style>
  <w:style w:type="character" w:customStyle="1" w:styleId="9">
    <w:name w:val="标题 1 字符"/>
    <w:basedOn w:val="8"/>
    <w:link w:val="2"/>
    <w:qFormat/>
    <w:uiPriority w:val="9"/>
    <w:rPr>
      <w:rFonts w:ascii="Times New Roman" w:hAnsi="Times New Roman" w:eastAsia="宋体"/>
      <w:b/>
      <w:bCs/>
      <w:kern w:val="44"/>
      <w:sz w:val="36"/>
      <w:szCs w:val="44"/>
    </w:rPr>
  </w:style>
  <w:style w:type="character" w:customStyle="1" w:styleId="10">
    <w:name w:val="标题 2 字符"/>
    <w:basedOn w:val="8"/>
    <w:link w:val="3"/>
    <w:qFormat/>
    <w:uiPriority w:val="9"/>
    <w:rPr>
      <w:rFonts w:eastAsia="宋体" w:asciiTheme="majorHAnsi" w:hAnsiTheme="majorHAnsi" w:cstheme="majorBidi"/>
      <w:b/>
      <w:bCs/>
      <w:sz w:val="30"/>
      <w:szCs w:val="32"/>
    </w:rPr>
  </w:style>
  <w:style w:type="character" w:customStyle="1" w:styleId="11">
    <w:name w:val="标题 3 字符"/>
    <w:basedOn w:val="8"/>
    <w:link w:val="4"/>
    <w:qFormat/>
    <w:uiPriority w:val="9"/>
    <w:rPr>
      <w:rFonts w:ascii="Times New Roman" w:hAnsi="Times New Roman" w:eastAsia="宋体"/>
      <w:bCs/>
      <w:sz w:val="28"/>
      <w:szCs w:val="32"/>
    </w:rPr>
  </w:style>
  <w:style w:type="character" w:customStyle="1" w:styleId="12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5"/>
    <w:qFormat/>
    <w:uiPriority w:val="99"/>
    <w:rPr>
      <w:sz w:val="18"/>
      <w:szCs w:val="18"/>
    </w:rPr>
  </w:style>
  <w:style w:type="table" w:customStyle="1" w:styleId="14">
    <w:name w:val="Table Normal"/>
    <w:semiHidden/>
    <w:unhideWhenUsed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表格内容"/>
    <w:basedOn w:val="1"/>
    <w:link w:val="16"/>
    <w:qFormat/>
    <w:uiPriority w:val="0"/>
    <w:pPr>
      <w:ind w:firstLine="0" w:firstLineChars="0"/>
    </w:pPr>
    <w:rPr>
      <w:rFonts w:cs="Times New Roman"/>
      <w:kern w:val="0"/>
      <w:szCs w:val="20"/>
    </w:rPr>
  </w:style>
  <w:style w:type="character" w:customStyle="1" w:styleId="16">
    <w:name w:val="表格内容 字符"/>
    <w:basedOn w:val="8"/>
    <w:link w:val="15"/>
    <w:qFormat/>
    <w:uiPriority w:val="0"/>
    <w:rPr>
      <w:rFonts w:ascii="Times New Roman" w:hAnsi="Times New Roman" w:eastAsia="仿宋_GB2312" w:cs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151</Words>
  <Characters>865</Characters>
  <Lines>7</Lines>
  <Paragraphs>2</Paragraphs>
  <TotalTime>11</TotalTime>
  <ScaleCrop>false</ScaleCrop>
  <LinksUpToDate>false</LinksUpToDate>
  <CharactersWithSpaces>1014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2023-10-24T02:48:00Z</dcterms:created>
  <dc:creator>迅 周</dc:creator>
  <cp:lastModifiedBy>Administrator</cp:lastModifiedBy>
  <dcterms:modified xsi:type="dcterms:W3CDTF">2023-10-24T03:20:13Z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C62C3AEE9F744850AE0E16C016287761_13</vt:lpwstr>
  </property>
</Properties>
</file>